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bookmarkStart w:id="0" w:name="_GoBack"/>
      <w:bookmarkEnd w:id="0"/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804A4F">
        <w:rPr>
          <w:rFonts w:eastAsia="Calibri"/>
          <w:szCs w:val="28"/>
        </w:rPr>
        <w:t xml:space="preserve">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5822F3" w:rsidRDefault="005822F3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1102-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7846C1" w:rsidRDefault="007846C1" w:rsidP="00FC5CDF">
      <w:pPr>
        <w:autoSpaceDE w:val="0"/>
        <w:autoSpaceDN w:val="0"/>
        <w:adjustRightInd w:val="0"/>
        <w:ind w:firstLine="6379"/>
        <w:rPr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287"/>
      </w:tblGrid>
      <w:tr w:rsidR="00BF2C42" w:rsidRPr="00BF2C42" w:rsidTr="003A3DB2">
        <w:tc>
          <w:tcPr>
            <w:tcW w:w="4287" w:type="dxa"/>
            <w:shd w:val="clear" w:color="auto" w:fill="auto"/>
          </w:tcPr>
          <w:p w:rsidR="00BF2C42" w:rsidRPr="00BF2C42" w:rsidRDefault="00BF2C42" w:rsidP="003A3DB2">
            <w:pPr>
              <w:widowControl w:val="0"/>
              <w:outlineLvl w:val="1"/>
              <w:rPr>
                <w:rFonts w:eastAsia="Times New Roman" w:cs="Times New Roman"/>
                <w:szCs w:val="20"/>
                <w:lang w:val="x-none" w:eastAsia="x-none"/>
              </w:rPr>
            </w:pP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>О внесении изменений</w:t>
            </w:r>
            <w:r w:rsidR="003A3DB2">
              <w:rPr>
                <w:rFonts w:eastAsia="Times New Roman" w:cs="Times New Roman"/>
                <w:szCs w:val="20"/>
                <w:lang w:eastAsia="x-none"/>
              </w:rPr>
              <w:t xml:space="preserve"> </w:t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>в решени</w:t>
            </w:r>
            <w:r w:rsidRPr="00BF2C42">
              <w:rPr>
                <w:rFonts w:eastAsia="Times New Roman" w:cs="Times New Roman"/>
                <w:szCs w:val="20"/>
                <w:lang w:eastAsia="x-none"/>
              </w:rPr>
              <w:t>е</w:t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 xml:space="preserve"> Думы </w:t>
            </w:r>
            <w:r w:rsidRPr="00BF2C42">
              <w:rPr>
                <w:rFonts w:eastAsia="Times New Roman" w:cs="Times New Roman"/>
                <w:szCs w:val="20"/>
                <w:lang w:eastAsia="x-none"/>
              </w:rPr>
              <w:t>города</w:t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 xml:space="preserve"> от</w:t>
            </w:r>
            <w:r w:rsidR="003A3DB2">
              <w:rPr>
                <w:rFonts w:eastAsia="Times New Roman" w:cs="Times New Roman"/>
                <w:szCs w:val="20"/>
                <w:lang w:eastAsia="x-none"/>
              </w:rPr>
              <w:t xml:space="preserve"> </w:t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 xml:space="preserve">30.10.2014 </w:t>
            </w:r>
            <w:r w:rsidR="003A3DB2">
              <w:rPr>
                <w:rFonts w:eastAsia="Times New Roman" w:cs="Times New Roman"/>
                <w:szCs w:val="20"/>
                <w:lang w:val="x-none" w:eastAsia="x-none"/>
              </w:rPr>
              <w:br/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>№ 601-V ДГ «О</w:t>
            </w:r>
            <w:r w:rsidR="003A3DB2">
              <w:rPr>
                <w:rFonts w:eastAsia="Times New Roman" w:cs="Times New Roman"/>
                <w:szCs w:val="20"/>
                <w:lang w:eastAsia="x-none"/>
              </w:rPr>
              <w:t xml:space="preserve"> </w:t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 xml:space="preserve">введении налога </w:t>
            </w:r>
            <w:r w:rsidR="003A3DB2">
              <w:rPr>
                <w:rFonts w:eastAsia="Times New Roman" w:cs="Times New Roman"/>
                <w:szCs w:val="20"/>
                <w:lang w:val="x-none" w:eastAsia="x-none"/>
              </w:rPr>
              <w:br/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 xml:space="preserve">на имущество физических лиц </w:t>
            </w:r>
            <w:r w:rsidR="003A3DB2">
              <w:rPr>
                <w:rFonts w:eastAsia="Times New Roman" w:cs="Times New Roman"/>
                <w:szCs w:val="20"/>
                <w:lang w:val="x-none" w:eastAsia="x-none"/>
              </w:rPr>
              <w:br/>
            </w:r>
            <w:r w:rsidRPr="00BF2C42">
              <w:rPr>
                <w:rFonts w:eastAsia="Times New Roman" w:cs="Times New Roman"/>
                <w:szCs w:val="20"/>
                <w:lang w:val="x-none" w:eastAsia="x-none"/>
              </w:rPr>
              <w:t>на территории города Сургута»</w:t>
            </w:r>
          </w:p>
        </w:tc>
      </w:tr>
    </w:tbl>
    <w:p w:rsidR="00BF2C42" w:rsidRPr="00BF2C42" w:rsidRDefault="00BF2C42" w:rsidP="003A3DB2">
      <w:pPr>
        <w:widowControl w:val="0"/>
        <w:tabs>
          <w:tab w:val="left" w:pos="3912"/>
        </w:tabs>
        <w:jc w:val="left"/>
        <w:rPr>
          <w:rFonts w:eastAsia="Times New Roman" w:cs="Times New Roman"/>
          <w:color w:val="000000"/>
          <w:szCs w:val="28"/>
          <w:lang w:eastAsia="x-none"/>
        </w:rPr>
      </w:pPr>
    </w:p>
    <w:p w:rsidR="00BF2C42" w:rsidRPr="00BF2C42" w:rsidRDefault="00BF2C42" w:rsidP="003A3DB2">
      <w:pPr>
        <w:widowControl w:val="0"/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В соответствии с главой 32 Налогового кодекса Российской </w:t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статьёй 31 Устава муниципального образования городской округ Сургут Ханты-Мансийского автономного округа – Югры Дума города РЕШИЛА</w:t>
      </w:r>
      <w:r w:rsidRPr="00BF2C42">
        <w:rPr>
          <w:rFonts w:eastAsia="Times New Roman" w:cs="Times New Roman"/>
          <w:color w:val="000000"/>
          <w:szCs w:val="28"/>
          <w:lang w:val="x-none" w:eastAsia="x-none"/>
        </w:rPr>
        <w:t>:</w:t>
      </w:r>
    </w:p>
    <w:p w:rsidR="00BF2C42" w:rsidRPr="00BF2C42" w:rsidRDefault="00BF2C42" w:rsidP="003A3DB2">
      <w:pPr>
        <w:widowControl w:val="0"/>
        <w:ind w:firstLine="708"/>
        <w:rPr>
          <w:rFonts w:eastAsia="Times New Roman" w:cs="Times New Roman"/>
          <w:color w:val="000000"/>
          <w:szCs w:val="28"/>
          <w:lang w:val="x-none" w:eastAsia="ru-RU"/>
        </w:rPr>
      </w:pPr>
    </w:p>
    <w:p w:rsidR="00BF2C42" w:rsidRPr="00BF2C42" w:rsidRDefault="00BF2C42" w:rsidP="003A3DB2">
      <w:pPr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val="x-none" w:eastAsia="x-none"/>
        </w:rPr>
        <w:t xml:space="preserve">Внести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в решение Думы города от 30.10.2014 № 601-V ДГ </w:t>
      </w:r>
      <w:r w:rsidR="003A3DB2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«О</w:t>
      </w:r>
      <w:r w:rsidR="003A3DB2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введении налога на имущество физических лиц на территории города Сургута»</w:t>
      </w:r>
      <w:r w:rsidRPr="00BF2C42">
        <w:rPr>
          <w:rFonts w:eastAsia="Times New Roman" w:cs="Times New Roman"/>
          <w:color w:val="000000"/>
          <w:szCs w:val="28"/>
          <w:lang w:val="x-none" w:eastAsia="x-none"/>
        </w:rPr>
        <w:t xml:space="preserve"> (в редакции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от 03.03.2026 № 971-</w:t>
      </w:r>
      <w:r w:rsidRPr="00BF2C42">
        <w:rPr>
          <w:rFonts w:eastAsia="Times New Roman" w:cs="Times New Roman"/>
          <w:color w:val="000000"/>
          <w:szCs w:val="28"/>
          <w:lang w:val="en-US" w:eastAsia="x-none"/>
        </w:rPr>
        <w:t>VII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 ДГ</w:t>
      </w:r>
      <w:r w:rsidRPr="00BF2C42">
        <w:rPr>
          <w:rFonts w:eastAsia="Times New Roman" w:cs="Times New Roman"/>
          <w:color w:val="000000"/>
          <w:szCs w:val="28"/>
          <w:lang w:val="x-none" w:eastAsia="x-none"/>
        </w:rPr>
        <w:t>)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 следующие </w:t>
      </w:r>
      <w:r w:rsidRPr="00BF2C42">
        <w:rPr>
          <w:rFonts w:eastAsia="Times New Roman" w:cs="Times New Roman"/>
          <w:color w:val="000000"/>
          <w:szCs w:val="28"/>
          <w:lang w:val="x-none" w:eastAsia="x-none"/>
        </w:rPr>
        <w:t>изменени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я: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bCs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наименование решения изложить в следующей редакции: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outlineLvl w:val="0"/>
        <w:rPr>
          <w:rFonts w:eastAsia="Times New Roman" w:cs="Times New Roman"/>
          <w:bCs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«О налоге на имущество физических лиц»</w:t>
      </w:r>
      <w:r w:rsidRPr="00BF2C42">
        <w:rPr>
          <w:rFonts w:eastAsia="Times New Roman" w:cs="Times New Roman"/>
          <w:bCs/>
          <w:color w:val="000000"/>
          <w:szCs w:val="28"/>
          <w:lang w:eastAsia="x-none"/>
        </w:rPr>
        <w:t>;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 xml:space="preserve">в констатирующей части решения слова «Законом Ханты-Мансийского автономного округа </w:t>
      </w:r>
      <w:r w:rsidRPr="00BF2C42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 Югры от 17.10.2014 № 81-оз </w:t>
      </w:r>
      <w:r w:rsidR="003A3DB2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«Об</w:t>
      </w:r>
      <w:r w:rsidR="003A3DB2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установлении единой даты начала применения на территории </w:t>
      </w:r>
      <w:r w:rsidR="003A3DB2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Ханты-Мансийского автономного округа – Югры порядка определения налоговой базы по налогу на имущество физических лиц исходя </w:t>
      </w:r>
      <w:r w:rsidR="003A3DB2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из кадастровой стоимости объектов налогообложения» заменить словами «Федеральным законом от</w:t>
      </w:r>
      <w:r w:rsidR="003A3DB2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20.03.2025 № 33-ФЗ «Об общих принципах организации местного самоуправления в единой системе публичной власти»;</w:t>
      </w:r>
      <w:r w:rsidR="003A3DB2">
        <w:rPr>
          <w:rFonts w:eastAsia="Times New Roman" w:cs="Times New Roman"/>
          <w:color w:val="000000"/>
          <w:szCs w:val="28"/>
          <w:lang w:eastAsia="x-none"/>
        </w:rPr>
        <w:t xml:space="preserve"> 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часть 1 решения изложить в следующей редакции: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«1. Установить и ввести в действие на территории городского округа Сургут Ханты-Мансийского автономного округа – Югры налог на имущество физических лиц.»;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статью 1 приложения к решению</w:t>
      </w:r>
      <w:r w:rsidRPr="00BF2C4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изложить в следующей </w:t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редакции: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«Статья 1.</w:t>
      </w:r>
      <w:r w:rsidR="00306C16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b/>
          <w:color w:val="000000"/>
          <w:szCs w:val="28"/>
          <w:lang w:eastAsia="x-none"/>
        </w:rPr>
        <w:t>Общие положения</w:t>
      </w:r>
      <w:r w:rsidR="003A3DB2">
        <w:rPr>
          <w:rFonts w:eastAsia="Times New Roman" w:cs="Times New Roman"/>
          <w:color w:val="000000"/>
          <w:szCs w:val="28"/>
          <w:lang w:eastAsia="x-none"/>
        </w:rPr>
        <w:t xml:space="preserve"> </w:t>
      </w:r>
    </w:p>
    <w:p w:rsidR="00306C16" w:rsidRPr="00EE6AE8" w:rsidRDefault="00306C16" w:rsidP="00306C16">
      <w:pPr>
        <w:widowControl w:val="0"/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BF2C42" w:rsidRPr="00BF2C42" w:rsidRDefault="00BF2C42" w:rsidP="00306C16">
      <w:pPr>
        <w:widowControl w:val="0"/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Настоящим Положением в соответствии с главой 32 Налогового кодекса Российской Федерации определяются ставки налога на имущество физических лиц (далее – налог), а также устанавливаются налоговые льготы, основания </w:t>
      </w:r>
      <w:r w:rsidR="00306C16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и порядок их применения.»;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наименование статьи 2 приложения к решению</w:t>
      </w:r>
      <w:r w:rsidRPr="00BF2C4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изложить </w:t>
      </w:r>
      <w:r w:rsidR="00306C16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в</w:t>
      </w:r>
      <w:r w:rsidR="00306C16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следующей редакции:</w:t>
      </w:r>
      <w:r w:rsidRPr="00BF2C42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«Статья 2.</w:t>
      </w:r>
      <w:r w:rsidR="00306C16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b/>
          <w:color w:val="000000"/>
          <w:szCs w:val="28"/>
          <w:lang w:eastAsia="x-none"/>
        </w:rPr>
        <w:t>Налоговые ставки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»;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часть 1 статьи 2 приложения к решению признать утратившей силу;</w:t>
      </w:r>
    </w:p>
    <w:p w:rsidR="00BF2C42" w:rsidRPr="00BF2C42" w:rsidRDefault="00BF2C42" w:rsidP="003A3DB2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статью 3 приложения к решению</w:t>
      </w:r>
      <w:r w:rsidRPr="00BF2C42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изложить в следующей редакции:</w:t>
      </w:r>
    </w:p>
    <w:p w:rsidR="00BF2C42" w:rsidRDefault="00BF2C42" w:rsidP="003A3DB2">
      <w:pPr>
        <w:widowControl w:val="0"/>
        <w:tabs>
          <w:tab w:val="left" w:pos="993"/>
        </w:tabs>
        <w:ind w:firstLine="709"/>
        <w:outlineLvl w:val="0"/>
        <w:rPr>
          <w:rFonts w:eastAsia="Times New Roman" w:cs="Times New Roman"/>
          <w:b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«Статья 3.</w:t>
      </w:r>
      <w:r w:rsidR="00306C16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b/>
          <w:color w:val="000000"/>
          <w:szCs w:val="28"/>
          <w:lang w:eastAsia="x-none"/>
        </w:rPr>
        <w:t>Налоговые льготы, основания и порядок их применения</w:t>
      </w:r>
    </w:p>
    <w:p w:rsidR="00306C16" w:rsidRPr="00BF2C42" w:rsidRDefault="00306C16" w:rsidP="003A3DB2">
      <w:pPr>
        <w:widowControl w:val="0"/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1.</w:t>
      </w:r>
      <w:r w:rsidRPr="00BF2C42">
        <w:rPr>
          <w:rFonts w:eastAsia="Times New Roman" w:cs="Times New Roman"/>
          <w:color w:val="000000"/>
          <w:szCs w:val="28"/>
          <w:lang w:eastAsia="x-none"/>
        </w:rPr>
        <w:tab/>
        <w:t xml:space="preserve">Настоящая статья устанавливает налоговые льготы дополнительно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к льготам, предусмотренным стать</w:t>
      </w:r>
      <w:r w:rsidR="00306C16">
        <w:rPr>
          <w:rFonts w:eastAsia="Times New Roman" w:cs="Times New Roman"/>
          <w:color w:val="000000"/>
          <w:szCs w:val="28"/>
          <w:lang w:eastAsia="x-none"/>
        </w:rPr>
        <w:t>ё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й 407 Налогового кодекса Российской Федерации.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Установление налоговых льгот направлено на формирование благоприятных условий жизнедеятельности отдельных категорий граждан, нуждающихся в социальной защите, и обеспечение достижения национальных целей развития Российской Федерации.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С уч</w:t>
      </w:r>
      <w:r w:rsidR="002C333A">
        <w:rPr>
          <w:rFonts w:eastAsia="Times New Roman" w:cs="Times New Roman"/>
          <w:color w:val="000000"/>
          <w:szCs w:val="28"/>
          <w:lang w:eastAsia="x-none"/>
        </w:rPr>
        <w:t>ё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том положений настоящей статьи право на налоговую льготу имеют следующие категории налогоплательщиков: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1)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>представители коренных малочисленных народов Севера, проживающие на территории города;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2)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>дети-сироты и дети, оставшиеся без попечения родителей, а также лица из числа детей-сирот и детей, оставшихся без попечения родителей, обучающиеся по очной форме в профессиональных образовательных организациях или образовательных организациях высшего образования;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3)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неработающие трудоспособные лица, осуществляющие уход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за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инвалидами I группы инвалидности или престарелыми, нуждающимися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в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постоянном постороннем уходе, по заключению лечебного учреждения,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а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также за детьми-инвалидами в возрасте до 18 лет;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4)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>неработающие инвалиды III группы инвалидности;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5)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>одинокие матери, воспитывающие детей в возрасте до 18 лет, отцы, воспитывающие детей в возрасте до 18 лет без матери;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6)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лица, воспитывающие трёх и более детей в возрасте до 18 лет,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в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том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числе находящихся под опекой (попечительством), проживающих совместно с родителями (родителем), иными законными представителями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из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числа граждан Российской Федерации, постоянно проживающих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в Ханты-Мансийском автономном округе – Югре, включённые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в региональный регистр получателей мер социальной поддержки, а также несовершеннолетние лица в</w:t>
      </w:r>
      <w:r w:rsidR="002C333A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возрасте до 18 лет, являющиеся членами многодетной семьи и проживающие совместно с родителями (родителем), иными законными представителями из числа граждан Российской Федерации, постоянно проживающих в Ханты-Мансийском автономном округе – Югре;</w:t>
      </w:r>
    </w:p>
    <w:p w:rsidR="00BF2C42" w:rsidRPr="00BF2C42" w:rsidRDefault="00BF2C42" w:rsidP="003A3DB2">
      <w:pPr>
        <w:widowControl w:val="0"/>
        <w:tabs>
          <w:tab w:val="left" w:pos="455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7)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лица, состоящие на учёте в налоговом органе в Ханты-Мансийском автономном округе – Югре в качестве индивидуального предпринимателя </w:t>
      </w:r>
      <w:r w:rsidR="002C333A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ил</w:t>
      </w:r>
      <w:r w:rsidR="002C333A">
        <w:rPr>
          <w:rFonts w:eastAsia="Times New Roman" w:cs="Times New Roman"/>
          <w:color w:val="000000"/>
          <w:szCs w:val="28"/>
          <w:lang w:eastAsia="x-none"/>
        </w:rPr>
        <w:t xml:space="preserve">и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плательщика налога на профессиональный доход.</w:t>
      </w:r>
    </w:p>
    <w:p w:rsidR="00BF2C42" w:rsidRPr="00BF2C42" w:rsidRDefault="00BF2C42" w:rsidP="003A3DB2">
      <w:pPr>
        <w:widowControl w:val="0"/>
        <w:tabs>
          <w:tab w:val="left" w:pos="591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2.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>Налоговые льготы, установленные частью 1 настоящей статьи, предоставляются в порядке, предусмотренном пунктами 6, 7 статьи 407 Налогового кодекса Российской Федерации, с учётом особенностей, предусмотренных частями 3 и 4 настоящей статьи.</w:t>
      </w:r>
    </w:p>
    <w:p w:rsidR="00BF2C42" w:rsidRPr="00BF2C42" w:rsidRDefault="00BF2C42" w:rsidP="003A3DB2">
      <w:pPr>
        <w:widowControl w:val="0"/>
        <w:tabs>
          <w:tab w:val="left" w:pos="591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3.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>Налоговая льгота для категорий налогоплательщиков, предусмотренных пунктами 1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–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6 части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1 настоящей статьи, предоставляется в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размере подлежащей уплате налогоплательщиком суммы налога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в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отношении объекта налогообложения, находящегося в собственности налогоплательщика и не используемого налогоплательщиком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в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предпринимательской деятельности.</w:t>
      </w:r>
    </w:p>
    <w:p w:rsidR="00BF2C42" w:rsidRPr="00BF2C42" w:rsidRDefault="00BF2C42" w:rsidP="003A3DB2">
      <w:pPr>
        <w:widowControl w:val="0"/>
        <w:tabs>
          <w:tab w:val="left" w:pos="591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При исчислении подлежащей уплате налогоплательщиком </w:t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 xml:space="preserve">суммы налога налоговая льгота предоставляется в отношении одного объекта налогообложения каждого вида по выбору налогоплательщика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вне зависимости от количества оснований для применения налоговых льгот.</w:t>
      </w:r>
    </w:p>
    <w:p w:rsidR="00BF2C42" w:rsidRPr="00BF2C42" w:rsidRDefault="00BF2C42" w:rsidP="003A3DB2">
      <w:pPr>
        <w:widowControl w:val="0"/>
        <w:tabs>
          <w:tab w:val="left" w:pos="591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Налоговая льгота предоставляется в отношении следующих видов объектов налогообложения:</w:t>
      </w:r>
    </w:p>
    <w:p w:rsidR="00BF2C42" w:rsidRPr="00BF2C42" w:rsidRDefault="00BF2C42" w:rsidP="003A3DB2">
      <w:pPr>
        <w:widowControl w:val="0"/>
        <w:tabs>
          <w:tab w:val="left" w:pos="591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1) квартира, часть квартиры или комната;</w:t>
      </w:r>
    </w:p>
    <w:p w:rsidR="00BF2C42" w:rsidRPr="00BF2C42" w:rsidRDefault="00BF2C42" w:rsidP="003A3DB2">
      <w:pPr>
        <w:widowControl w:val="0"/>
        <w:tabs>
          <w:tab w:val="left" w:pos="591"/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2) жилой дом или часть жилого дома.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Положения настоящей части не распространяются на категорию налогоплательщиков, предусмотренных пунктом 7 части 1 настоящей статьи. 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4.</w:t>
      </w:r>
      <w:r w:rsidR="00CA7621">
        <w:rPr>
          <w:rFonts w:eastAsia="Times New Roman" w:cs="Times New Roman"/>
          <w:color w:val="000000"/>
          <w:szCs w:val="28"/>
          <w:lang w:eastAsia="x-none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Налоговая льгота для категории налогоплательщиков, предусмотренных пунктом 7 части 1 настоящей статьи, предоставляется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в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отношении объектов недвижимого имущества, включённых в перечень, определяемый в соответствии с пунктом 7 статьи 378.2 Налогового кодекса Российской Федерации, а также объектов недвижимого имущества, предусмотренных в абзаце втором пункта 10 статьи 378.2 Налогового кодекса Российской Федерации, права собственности на которые оформлены налогоплательщиками до 1 января 2024 года и по которым кадастровая стоимость, внесённая в Единый государственный реестр недвижимости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>и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подлежащая применению с 1 января 2024 года, превышает кадастровую стоимость указанных объектов недвижимого имущества, внесённую в Единый государственный реестр недвижимости и подлежащую применению с 1 января 2023 года.</w:t>
      </w:r>
    </w:p>
    <w:p w:rsidR="00BF2C42" w:rsidRPr="00BF2C42" w:rsidRDefault="00BF2C42" w:rsidP="003A3DB2">
      <w:pPr>
        <w:widowControl w:val="0"/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Налоговая льгота предоставляется в виде уменьшения</w:t>
      </w:r>
      <w:r w:rsidR="002C333A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суммы налога в следующем порядке:</w:t>
      </w:r>
    </w:p>
    <w:p w:rsidR="00BF2C42" w:rsidRPr="00BF2C42" w:rsidRDefault="00BF2C42" w:rsidP="003A3DB2">
      <w:pPr>
        <w:widowControl w:val="0"/>
        <w:tabs>
          <w:tab w:val="left" w:pos="993"/>
        </w:tabs>
        <w:autoSpaceDE w:val="0"/>
        <w:autoSpaceDN w:val="0"/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за налоговый период 2024 года – на 60</w:t>
      </w:r>
      <w:r w:rsidR="00CA7621" w:rsidRPr="00BF2C42">
        <w:rPr>
          <w:rFonts w:eastAsia="Times New Roman" w:cs="Times New Roman"/>
          <w:color w:val="000000"/>
          <w:szCs w:val="28"/>
          <w:lang w:eastAsia="x-none"/>
        </w:rPr>
        <w:t> 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% разницы между</w:t>
      </w:r>
      <w:r w:rsidR="002C333A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суммой налога за налоговый период 2024 года и 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суммой налога за налоговый период 2023 года в отношении соответствующего объекта налогообложения;</w:t>
      </w:r>
      <w:r w:rsidR="002C333A">
        <w:rPr>
          <w:rFonts w:eastAsia="Times New Roman" w:cs="Times New Roman"/>
          <w:color w:val="000000"/>
          <w:szCs w:val="28"/>
          <w:lang w:eastAsia="x-none"/>
        </w:rPr>
        <w:t xml:space="preserve"> </w:t>
      </w:r>
    </w:p>
    <w:p w:rsidR="00BF2C42" w:rsidRPr="00BF2C42" w:rsidRDefault="00BF2C42" w:rsidP="003A3DB2">
      <w:pPr>
        <w:widowControl w:val="0"/>
        <w:tabs>
          <w:tab w:val="left" w:pos="993"/>
        </w:tabs>
        <w:autoSpaceDE w:val="0"/>
        <w:autoSpaceDN w:val="0"/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за налоговый период 2025 года – на 40</w:t>
      </w:r>
      <w:r w:rsidR="00CA7621" w:rsidRPr="00BF2C42">
        <w:rPr>
          <w:rFonts w:eastAsia="Times New Roman" w:cs="Times New Roman"/>
          <w:color w:val="000000"/>
          <w:szCs w:val="28"/>
          <w:lang w:eastAsia="x-none"/>
        </w:rPr>
        <w:t> 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% разницы между 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суммой налога за налоговый период 2025 года и 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суммой налога за налоговый период 2023 года в отношении соответствующего объекта налогообложения;</w:t>
      </w:r>
    </w:p>
    <w:p w:rsidR="00BF2C42" w:rsidRPr="00BF2C42" w:rsidRDefault="00BF2C42" w:rsidP="003A3DB2">
      <w:pPr>
        <w:widowControl w:val="0"/>
        <w:tabs>
          <w:tab w:val="left" w:pos="993"/>
        </w:tabs>
        <w:autoSpaceDE w:val="0"/>
        <w:autoSpaceDN w:val="0"/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>за налоговый период 2026 года – на 20</w:t>
      </w:r>
      <w:r w:rsidR="00CA7621" w:rsidRPr="00BF2C42">
        <w:rPr>
          <w:rFonts w:eastAsia="Times New Roman" w:cs="Times New Roman"/>
          <w:color w:val="000000"/>
          <w:szCs w:val="28"/>
          <w:lang w:eastAsia="x-none"/>
        </w:rPr>
        <w:t> 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% разницы между 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суммой налога за налоговый период 2026 года и 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нной суммой налога за налоговый период 2023 года в отношении соответствующего объекта налогообложения.</w:t>
      </w:r>
    </w:p>
    <w:p w:rsidR="00BF2C42" w:rsidRPr="00BF2C42" w:rsidRDefault="00BF2C42" w:rsidP="003A3DB2">
      <w:pPr>
        <w:widowControl w:val="0"/>
        <w:tabs>
          <w:tab w:val="left" w:pos="993"/>
        </w:tabs>
        <w:autoSpaceDE w:val="0"/>
        <w:autoSpaceDN w:val="0"/>
        <w:ind w:firstLine="709"/>
        <w:rPr>
          <w:rFonts w:eastAsia="Times New Roman" w:cs="Times New Roman"/>
          <w:color w:val="000000"/>
          <w:szCs w:val="28"/>
          <w:lang w:eastAsia="x-none"/>
        </w:rPr>
      </w:pP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Налоговая льгота предоставляется при условии, что сумма налога </w:t>
      </w:r>
      <w:r w:rsidR="00CA7621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на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имущество физических лиц за соответствующий налоговый период (начиная с налогового периода за 2024 год), исчисл</w:t>
      </w:r>
      <w:r w:rsidR="00EE6AE8">
        <w:rPr>
          <w:rFonts w:eastAsia="Times New Roman" w:cs="Times New Roman"/>
          <w:color w:val="000000"/>
          <w:szCs w:val="28"/>
          <w:lang w:eastAsia="x-none"/>
        </w:rPr>
        <w:t>е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нная без учёта положений пунктов 4, </w:t>
      </w:r>
      <w:hyperlink r:id="rId8" w:tooltip="&quot;Налоговый кодекс Российской Федерации (часть вторая)&quot; от 05.08.2000 N 117-ФЗ (ред. от 04.07.2026, с изм. от 21.07.2026) (с изм. и доп., вступ. в силу с 26.07.2026) {КонсультантПлюс}">
        <w:r w:rsidRPr="00BF2C42">
          <w:rPr>
            <w:rFonts w:eastAsia="Times New Roman" w:cs="Times New Roman"/>
            <w:color w:val="000000"/>
            <w:szCs w:val="28"/>
            <w:lang w:eastAsia="x-none"/>
          </w:rPr>
          <w:t>5</w:t>
        </w:r>
      </w:hyperlink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 и 6 статьи 408 Налогового кодекса Российской Федерации, превышает сумму налога на имущество физических лиц, рассчитанную </w:t>
      </w:r>
      <w:r w:rsidR="00EE6AE8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исходя из кадастровой стоимости такого объекта недвижимого имущества, внесённой в Единый государственный реестр недвижимости и подлежащей применению с 1 января 2023 года, налоговой ставки, установленной </w:t>
      </w:r>
      <w:r w:rsidR="00EE6AE8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пунктом 2 части 2 статьи 2 настоящего Положения, и без учёта положений </w:t>
      </w:r>
      <w:r w:rsidR="00EE6AE8">
        <w:rPr>
          <w:rFonts w:eastAsia="Times New Roman" w:cs="Times New Roman"/>
          <w:color w:val="000000"/>
          <w:szCs w:val="28"/>
          <w:lang w:eastAsia="x-none"/>
        </w:rPr>
        <w:br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пунктов 4, </w:t>
      </w:r>
      <w:hyperlink r:id="rId9" w:tooltip="&quot;Налоговый кодекс Российской Федерации (часть вторая)&quot; от 05.08.2000 N 117-ФЗ (ред. от 04.07.2026, с изм. от 21.07.2026) (с изм. и доп., вступ. в силу с 26.07.2026) {КонсультантПлюс}">
        <w:r w:rsidRPr="00BF2C42">
          <w:rPr>
            <w:rFonts w:eastAsia="Times New Roman" w:cs="Times New Roman"/>
            <w:color w:val="000000"/>
            <w:szCs w:val="28"/>
            <w:lang w:eastAsia="x-none"/>
          </w:rPr>
          <w:t>5</w:t>
        </w:r>
      </w:hyperlink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 и 6</w:t>
      </w:r>
      <w:r w:rsidR="00EE6AE8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>статьи</w:t>
      </w:r>
      <w:r w:rsidR="00CA7621" w:rsidRPr="00CA7621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408 Налогового кодекса Российской Федерации.». </w:t>
      </w:r>
    </w:p>
    <w:p w:rsidR="00BF2C42" w:rsidRPr="00BF2C42" w:rsidRDefault="00BF2C42" w:rsidP="003A3DB2">
      <w:pPr>
        <w:widowControl w:val="0"/>
        <w:shd w:val="clear" w:color="auto" w:fill="FFFFFF"/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BF2C42">
        <w:rPr>
          <w:rFonts w:eastAsia="Times New Roman" w:cs="Times New Roman"/>
          <w:color w:val="000000"/>
          <w:szCs w:val="28"/>
          <w:lang w:eastAsia="ru-RU"/>
        </w:rPr>
        <w:t>2.</w:t>
      </w:r>
      <w:r w:rsidR="00CA7621">
        <w:rPr>
          <w:rFonts w:eastAsia="Times New Roman" w:cs="Times New Roman"/>
          <w:color w:val="000000"/>
          <w:szCs w:val="28"/>
          <w:lang w:eastAsia="ru-RU"/>
        </w:rPr>
        <w:tab/>
      </w:r>
      <w:r w:rsidRPr="00BF2C42">
        <w:rPr>
          <w:rFonts w:eastAsia="Times New Roman" w:cs="Times New Roman"/>
          <w:color w:val="000000"/>
          <w:szCs w:val="28"/>
          <w:lang w:eastAsia="x-none"/>
        </w:rPr>
        <w:t xml:space="preserve">Опубликовать (разместить) настоящее решение в сетевом издании «Официальные документы города Сургута»: </w:t>
      </w:r>
      <w:r w:rsidRPr="00BF2C42">
        <w:rPr>
          <w:rFonts w:eastAsia="Times New Roman" w:cs="Times New Roman"/>
          <w:color w:val="000000"/>
          <w:szCs w:val="28"/>
          <w:lang w:eastAsia="x-none"/>
        </w:rPr>
        <w:lastRenderedPageBreak/>
        <w:t>DOCSURGUT.RU.</w:t>
      </w:r>
    </w:p>
    <w:p w:rsidR="00BF2C42" w:rsidRPr="00BF2C42" w:rsidRDefault="00BF2C42" w:rsidP="0099261C">
      <w:pPr>
        <w:widowControl w:val="0"/>
        <w:shd w:val="clear" w:color="auto" w:fill="FFFFFF"/>
        <w:tabs>
          <w:tab w:val="left" w:pos="993"/>
        </w:tabs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BF2C42">
        <w:rPr>
          <w:rFonts w:eastAsia="Times New Roman" w:cs="Times New Roman"/>
          <w:color w:val="000000"/>
          <w:szCs w:val="28"/>
          <w:lang w:eastAsia="ru-RU"/>
        </w:rPr>
        <w:t>3.</w:t>
      </w:r>
      <w:r w:rsidR="00CA7621">
        <w:rPr>
          <w:rFonts w:eastAsia="Times New Roman" w:cs="Times New Roman"/>
          <w:color w:val="000000"/>
          <w:szCs w:val="28"/>
          <w:lang w:eastAsia="ru-RU"/>
        </w:rPr>
        <w:tab/>
      </w:r>
      <w:r w:rsidRPr="00BF2C42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Настоящее </w:t>
      </w:r>
      <w:r w:rsidRPr="00BF2C42">
        <w:rPr>
          <w:rFonts w:eastAsia="Times New Roman" w:cs="Times New Roman"/>
          <w:color w:val="000000"/>
          <w:szCs w:val="28"/>
          <w:lang w:eastAsia="ru-RU"/>
        </w:rPr>
        <w:t>решение вступает в силу после его официального опубликования</w:t>
      </w:r>
      <w:r w:rsidR="0099261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F4205F" w:rsidRPr="0099261C" w:rsidRDefault="00F4205F" w:rsidP="003A3DB2">
      <w:pPr>
        <w:widowControl w:val="0"/>
        <w:tabs>
          <w:tab w:val="left" w:pos="1134"/>
        </w:tabs>
        <w:ind w:firstLine="709"/>
        <w:rPr>
          <w:szCs w:val="28"/>
        </w:rPr>
      </w:pPr>
    </w:p>
    <w:p w:rsidR="00901195" w:rsidRPr="0099261C" w:rsidRDefault="00901195" w:rsidP="007846C1">
      <w:pPr>
        <w:tabs>
          <w:tab w:val="left" w:pos="1134"/>
        </w:tabs>
        <w:ind w:firstLine="708"/>
        <w:rPr>
          <w:szCs w:val="28"/>
        </w:rPr>
      </w:pPr>
    </w:p>
    <w:p w:rsidR="006302DF" w:rsidRPr="0099261C" w:rsidRDefault="006302DF" w:rsidP="007846C1">
      <w:pPr>
        <w:tabs>
          <w:tab w:val="left" w:pos="1134"/>
        </w:tabs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5822F3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5822F3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01195">
      <w:headerReference w:type="default" r:id="rId10"/>
      <w:footerReference w:type="default" r:id="rId11"/>
      <w:headerReference w:type="first" r:id="rId12"/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EBD" w:rsidRDefault="00154EBD" w:rsidP="006757BB">
      <w:r>
        <w:separator/>
      </w:r>
    </w:p>
  </w:endnote>
  <w:endnote w:type="continuationSeparator" w:id="0">
    <w:p w:rsidR="00154EBD" w:rsidRDefault="00154EBD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EBD" w:rsidRDefault="00154EBD" w:rsidP="006757BB">
      <w:r>
        <w:separator/>
      </w:r>
    </w:p>
  </w:footnote>
  <w:footnote w:type="continuationSeparator" w:id="0">
    <w:p w:rsidR="00154EBD" w:rsidRDefault="00154EBD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6738AA">
          <w:rPr>
            <w:noProof/>
            <w:sz w:val="20"/>
            <w:szCs w:val="20"/>
          </w:rPr>
          <w:t>4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6738AA">
          <w:rPr>
            <w:noProof/>
            <w:sz w:val="20"/>
            <w:szCs w:val="20"/>
          </w:rPr>
          <w:t>1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0E214382"/>
    <w:multiLevelType w:val="hybridMultilevel"/>
    <w:tmpl w:val="64CC85C8"/>
    <w:lvl w:ilvl="0" w:tplc="11DEBE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59D5893"/>
    <w:multiLevelType w:val="hybridMultilevel"/>
    <w:tmpl w:val="2F74BB82"/>
    <w:lvl w:ilvl="0" w:tplc="F3BAD126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286F"/>
    <w:rsid w:val="00153A8B"/>
    <w:rsid w:val="00154EBD"/>
    <w:rsid w:val="00156BD5"/>
    <w:rsid w:val="001734EA"/>
    <w:rsid w:val="001930EF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9214F"/>
    <w:rsid w:val="00297C63"/>
    <w:rsid w:val="002C0DA2"/>
    <w:rsid w:val="002C333A"/>
    <w:rsid w:val="002E22CC"/>
    <w:rsid w:val="00306C16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91653"/>
    <w:rsid w:val="003A3DB2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50D6"/>
    <w:rsid w:val="004B09F3"/>
    <w:rsid w:val="004C4E88"/>
    <w:rsid w:val="004E4ED8"/>
    <w:rsid w:val="004E79FC"/>
    <w:rsid w:val="004F3970"/>
    <w:rsid w:val="00503B30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822F3"/>
    <w:rsid w:val="00590934"/>
    <w:rsid w:val="005A497D"/>
    <w:rsid w:val="005A690F"/>
    <w:rsid w:val="005B0CF7"/>
    <w:rsid w:val="005C2C05"/>
    <w:rsid w:val="005D16B2"/>
    <w:rsid w:val="005E2C49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62C1E"/>
    <w:rsid w:val="006637FE"/>
    <w:rsid w:val="00671CD2"/>
    <w:rsid w:val="006738AA"/>
    <w:rsid w:val="00674975"/>
    <w:rsid w:val="006757BB"/>
    <w:rsid w:val="00677894"/>
    <w:rsid w:val="006866A2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D2B57"/>
    <w:rsid w:val="007D6A51"/>
    <w:rsid w:val="007E4424"/>
    <w:rsid w:val="007F5B20"/>
    <w:rsid w:val="008009E7"/>
    <w:rsid w:val="00803407"/>
    <w:rsid w:val="00804A4F"/>
    <w:rsid w:val="0081348C"/>
    <w:rsid w:val="00813E66"/>
    <w:rsid w:val="00847112"/>
    <w:rsid w:val="00854D0C"/>
    <w:rsid w:val="008A192E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57282"/>
    <w:rsid w:val="0096607A"/>
    <w:rsid w:val="00973CD5"/>
    <w:rsid w:val="0098622B"/>
    <w:rsid w:val="00987D20"/>
    <w:rsid w:val="0099261C"/>
    <w:rsid w:val="009A1C08"/>
    <w:rsid w:val="009B65D8"/>
    <w:rsid w:val="009C2B54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E1CA7"/>
    <w:rsid w:val="00BE2302"/>
    <w:rsid w:val="00BF2C4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A7621"/>
    <w:rsid w:val="00CC7B8D"/>
    <w:rsid w:val="00D3340B"/>
    <w:rsid w:val="00D35C97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8136C"/>
    <w:rsid w:val="00E83964"/>
    <w:rsid w:val="00E851AB"/>
    <w:rsid w:val="00E94D6B"/>
    <w:rsid w:val="00E95C2E"/>
    <w:rsid w:val="00EA080A"/>
    <w:rsid w:val="00EC510C"/>
    <w:rsid w:val="00EC5D33"/>
    <w:rsid w:val="00ED7A03"/>
    <w:rsid w:val="00EE179F"/>
    <w:rsid w:val="00EE6AE8"/>
    <w:rsid w:val="00F107E8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rsid w:val="00BF2C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10">
    <w:name w:val="Заголовок 1 Знак"/>
    <w:basedOn w:val="a0"/>
    <w:link w:val="1"/>
    <w:uiPriority w:val="9"/>
    <w:rsid w:val="00BF2C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7946&amp;date=06.08.2026&amp;dst=10423&amp;fie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7946&amp;date=06.08.2026&amp;dst=10423&amp;field=134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C22E7"/>
    <w:rsid w:val="000E2A5C"/>
    <w:rsid w:val="001044E6"/>
    <w:rsid w:val="001303A1"/>
    <w:rsid w:val="001B2BC7"/>
    <w:rsid w:val="001F478C"/>
    <w:rsid w:val="00283A0D"/>
    <w:rsid w:val="002B4F35"/>
    <w:rsid w:val="00316132"/>
    <w:rsid w:val="00320653"/>
    <w:rsid w:val="00347E6D"/>
    <w:rsid w:val="003E6930"/>
    <w:rsid w:val="004167DB"/>
    <w:rsid w:val="004262C4"/>
    <w:rsid w:val="00491ED2"/>
    <w:rsid w:val="004A4E4E"/>
    <w:rsid w:val="005929E3"/>
    <w:rsid w:val="005A66C6"/>
    <w:rsid w:val="005C4280"/>
    <w:rsid w:val="005E63D4"/>
    <w:rsid w:val="00627304"/>
    <w:rsid w:val="006F1B79"/>
    <w:rsid w:val="007920C7"/>
    <w:rsid w:val="008219FF"/>
    <w:rsid w:val="00827DF2"/>
    <w:rsid w:val="00831160"/>
    <w:rsid w:val="0089525A"/>
    <w:rsid w:val="008A4E20"/>
    <w:rsid w:val="008E652B"/>
    <w:rsid w:val="008F7986"/>
    <w:rsid w:val="009B4AB1"/>
    <w:rsid w:val="009F3BE0"/>
    <w:rsid w:val="00A10C17"/>
    <w:rsid w:val="00A13D77"/>
    <w:rsid w:val="00A51888"/>
    <w:rsid w:val="00A61EC3"/>
    <w:rsid w:val="00AE5F75"/>
    <w:rsid w:val="00AE610D"/>
    <w:rsid w:val="00C17ABD"/>
    <w:rsid w:val="00CD6F2A"/>
    <w:rsid w:val="00D1490D"/>
    <w:rsid w:val="00E32E19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0</TotalTime>
  <Pages>4</Pages>
  <Words>1325</Words>
  <Characters>7555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Недорезова Ирина Юрьевна</cp:lastModifiedBy>
  <cp:revision>2</cp:revision>
  <cp:lastPrinted>2021-11-26T12:01:00Z</cp:lastPrinted>
  <dcterms:created xsi:type="dcterms:W3CDTF">2026-09-22T09:48:00Z</dcterms:created>
  <dcterms:modified xsi:type="dcterms:W3CDTF">2026-09-22T09:48:00Z</dcterms:modified>
</cp:coreProperties>
</file>